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6.2.0.0 -->
  <w:background w:color="ffffff">
    <v:background id="_x0000_s1025" filled="t" fillcolor="white"/>
  </w:background>
  <w:body>
    <w:p>
      <w:pPr>
        <w:spacing w:before="0" w:after="0" w:line="235" w:lineRule="auto"/>
        <w:jc w:val="right"/>
        <w:rPr>
          <w:sz w:val="28"/>
          <w:szCs w:val="28"/>
        </w:rPr>
      </w:pPr>
      <w:r>
        <w:rPr>
          <w:rFonts w:ascii="Times New Roman" w:eastAsia="Times New Roman" w:hAnsi="Times New Roman" w:cs="Times New Roman"/>
          <w:b/>
          <w:bCs/>
          <w:sz w:val="28"/>
          <w:szCs w:val="28"/>
          <w:highlight w:val="none"/>
        </w:rPr>
        <w:t>Гражданское дело № 2-5373/2025</w:t>
      </w:r>
    </w:p>
    <w:p>
      <w:pPr>
        <w:spacing w:before="0" w:after="0" w:line="235" w:lineRule="auto"/>
        <w:jc w:val="right"/>
        <w:rPr>
          <w:sz w:val="28"/>
          <w:szCs w:val="28"/>
        </w:rPr>
      </w:pPr>
      <w:r>
        <w:rPr>
          <w:rFonts w:ascii="Times New Roman" w:eastAsia="Times New Roman" w:hAnsi="Times New Roman" w:cs="Times New Roman"/>
          <w:b/>
          <w:bCs/>
          <w:sz w:val="28"/>
          <w:szCs w:val="28"/>
          <w:highlight w:val="none"/>
        </w:rPr>
        <w:t>УИД 77RS0002-02-2025-009796-08</w:t>
      </w:r>
    </w:p>
    <w:p>
      <w:pPr>
        <w:spacing w:before="0" w:after="0" w:line="235" w:lineRule="auto"/>
        <w:rPr>
          <w:sz w:val="28"/>
          <w:szCs w:val="28"/>
        </w:rPr>
      </w:pPr>
    </w:p>
    <w:p>
      <w:pPr>
        <w:spacing w:before="0" w:after="0" w:line="235" w:lineRule="auto"/>
        <w:jc w:val="center"/>
        <w:rPr>
          <w:sz w:val="28"/>
          <w:szCs w:val="28"/>
        </w:rPr>
      </w:pPr>
      <w:r>
        <w:rPr>
          <w:rFonts w:ascii="Times New Roman" w:eastAsia="Times New Roman" w:hAnsi="Times New Roman" w:cs="Times New Roman"/>
          <w:b/>
          <w:bCs/>
          <w:sz w:val="28"/>
          <w:szCs w:val="28"/>
          <w:highlight w:val="none"/>
        </w:rPr>
        <w:t>РЕШЕНИЕ</w:t>
      </w:r>
    </w:p>
    <w:p>
      <w:pPr>
        <w:spacing w:before="0" w:after="0" w:line="235" w:lineRule="auto"/>
        <w:jc w:val="center"/>
        <w:rPr>
          <w:sz w:val="28"/>
          <w:szCs w:val="28"/>
        </w:rPr>
      </w:pPr>
      <w:r>
        <w:rPr>
          <w:rFonts w:ascii="Times New Roman" w:eastAsia="Times New Roman" w:hAnsi="Times New Roman" w:cs="Times New Roman"/>
          <w:b/>
          <w:bCs/>
          <w:sz w:val="28"/>
          <w:szCs w:val="28"/>
          <w:highlight w:val="none"/>
        </w:rPr>
        <w:t>ИМЕНЕМ РОССИЙСКОЙ ФЕДЕРАЦИИ</w:t>
      </w:r>
    </w:p>
    <w:p>
      <w:pPr>
        <w:spacing w:before="0" w:after="0" w:line="235" w:lineRule="auto"/>
        <w:jc w:val="both"/>
        <w:rPr>
          <w:sz w:val="28"/>
          <w:szCs w:val="28"/>
        </w:rPr>
      </w:pPr>
    </w:p>
    <w:p>
      <w:pPr>
        <w:spacing w:before="0" w:after="0" w:line="235" w:lineRule="auto"/>
        <w:ind w:firstLine="567"/>
        <w:jc w:val="both"/>
        <w:rPr>
          <w:sz w:val="28"/>
          <w:szCs w:val="28"/>
        </w:rPr>
      </w:pPr>
      <w:r>
        <w:rPr>
          <w:rFonts w:ascii="Times New Roman" w:eastAsia="Times New Roman" w:hAnsi="Times New Roman" w:cs="Times New Roman"/>
          <w:b/>
          <w:bCs/>
          <w:sz w:val="28"/>
          <w:szCs w:val="28"/>
          <w:highlight w:val="none"/>
        </w:rPr>
        <w:t xml:space="preserve">  </w:t>
      </w:r>
      <w:r>
        <w:rPr>
          <w:rFonts w:ascii="Times New Roman" w:eastAsia="Times New Roman" w:hAnsi="Times New Roman" w:cs="Times New Roman"/>
          <w:b/>
          <w:bCs/>
          <w:sz w:val="28"/>
          <w:szCs w:val="28"/>
          <w:highlight w:val="none"/>
        </w:rPr>
        <w:t>10 декабря 2025 года</w:t>
      </w:r>
      <w:r>
        <w:rPr>
          <w:rFonts w:ascii="Times New Roman" w:eastAsia="Times New Roman" w:hAnsi="Times New Roman" w:cs="Times New Roman"/>
          <w:b/>
          <w:bCs/>
          <w:sz w:val="28"/>
          <w:szCs w:val="28"/>
          <w:highlight w:val="none"/>
        </w:rPr>
        <w:t xml:space="preserve">                                                               </w:t>
      </w:r>
      <w:r>
        <w:rPr>
          <w:rStyle w:val="cat-Addressgrp-0rplc-0"/>
          <w:rFonts w:ascii="Times New Roman" w:eastAsia="Times New Roman" w:hAnsi="Times New Roman" w:cs="Times New Roman"/>
          <w:b/>
          <w:bCs/>
          <w:sz w:val="28"/>
          <w:szCs w:val="28"/>
          <w:highlight w:val="none"/>
        </w:rPr>
        <w:t>адрес</w:t>
      </w:r>
    </w:p>
    <w:p>
      <w:pPr>
        <w:spacing w:before="0" w:after="0" w:line="235" w:lineRule="auto"/>
        <w:ind w:firstLine="567"/>
        <w:jc w:val="both"/>
        <w:rPr>
          <w:sz w:val="28"/>
          <w:szCs w:val="28"/>
        </w:rPr>
      </w:pPr>
    </w:p>
    <w:p>
      <w:pPr>
        <w:spacing w:before="0" w:after="0" w:line="235" w:lineRule="auto"/>
        <w:ind w:firstLine="709"/>
        <w:jc w:val="both"/>
        <w:rPr>
          <w:sz w:val="28"/>
          <w:szCs w:val="28"/>
        </w:rPr>
      </w:pPr>
      <w:r>
        <w:rPr>
          <w:rFonts w:ascii="Times New Roman" w:eastAsia="Times New Roman" w:hAnsi="Times New Roman" w:cs="Times New Roman"/>
          <w:sz w:val="28"/>
          <w:szCs w:val="28"/>
          <w:highlight w:val="none"/>
        </w:rPr>
        <w:t xml:space="preserve">Басманный районный суд </w:t>
      </w:r>
      <w:r>
        <w:rPr>
          <w:rStyle w:val="cat-Addressgrp-1rplc-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в составе</w:t>
      </w:r>
      <w:r>
        <w:rPr>
          <w:rFonts w:ascii="Times New Roman" w:eastAsia="Times New Roman" w:hAnsi="Times New Roman" w:cs="Times New Roman"/>
          <w:sz w:val="28"/>
          <w:szCs w:val="28"/>
          <w:highlight w:val="none"/>
        </w:rPr>
        <w:t xml:space="preserve"> п</w:t>
      </w:r>
      <w:r>
        <w:rPr>
          <w:rFonts w:ascii="Times New Roman" w:eastAsia="Times New Roman" w:hAnsi="Times New Roman" w:cs="Times New Roman"/>
          <w:sz w:val="28"/>
          <w:szCs w:val="28"/>
          <w:highlight w:val="none"/>
        </w:rPr>
        <w:t xml:space="preserve">редседательствующего судьи </w:t>
      </w:r>
      <w:r>
        <w:rPr>
          <w:rFonts w:ascii="Times New Roman" w:eastAsia="Times New Roman" w:hAnsi="Times New Roman" w:cs="Times New Roman"/>
          <w:sz w:val="28"/>
          <w:szCs w:val="28"/>
          <w:highlight w:val="none"/>
        </w:rPr>
        <w:t>Графовой</w:t>
      </w:r>
      <w:r>
        <w:rPr>
          <w:rFonts w:ascii="Times New Roman" w:eastAsia="Times New Roman" w:hAnsi="Times New Roman" w:cs="Times New Roman"/>
          <w:sz w:val="28"/>
          <w:szCs w:val="28"/>
          <w:highlight w:val="none"/>
        </w:rPr>
        <w:t xml:space="preserve"> Г.А.,</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 xml:space="preserve">при секретаре </w:t>
      </w:r>
      <w:r>
        <w:rPr>
          <w:rStyle w:val="cat-FIOgrp-10rplc-3"/>
          <w:rFonts w:ascii="Times New Roman" w:eastAsia="Times New Roman" w:hAnsi="Times New Roman" w:cs="Times New Roman"/>
          <w:sz w:val="28"/>
          <w:szCs w:val="28"/>
          <w:highlight w:val="none"/>
        </w:rPr>
        <w:t>фио</w:t>
      </w:r>
      <w:r>
        <w:rPr>
          <w:rFonts w:ascii="Times New Roman" w:eastAsia="Times New Roman" w:hAnsi="Times New Roman" w:cs="Times New Roman"/>
          <w:sz w:val="28"/>
          <w:szCs w:val="28"/>
          <w:highlight w:val="none"/>
        </w:rPr>
        <w:t>,</w:t>
      </w:r>
    </w:p>
    <w:p>
      <w:pPr>
        <w:spacing w:before="0" w:after="0" w:line="235" w:lineRule="auto"/>
        <w:ind w:firstLine="709"/>
        <w:jc w:val="both"/>
        <w:rPr>
          <w:sz w:val="28"/>
          <w:szCs w:val="28"/>
        </w:rPr>
      </w:pPr>
      <w:r>
        <w:rPr>
          <w:rFonts w:ascii="Times New Roman" w:eastAsia="Times New Roman" w:hAnsi="Times New Roman" w:cs="Times New Roman"/>
          <w:sz w:val="28"/>
          <w:szCs w:val="28"/>
          <w:highlight w:val="none"/>
        </w:rPr>
        <w:t xml:space="preserve">рассмотрев в закрытом судебном заседании гражданское дело № 2-5373/2025 по исковому заявлению Главного государственного санитарного врача по </w:t>
      </w:r>
      <w:r>
        <w:rPr>
          <w:rStyle w:val="cat-Addressgrp-2rplc-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Style w:val="cat-FIOgrp-11rplc-5"/>
          <w:rFonts w:ascii="Times New Roman" w:eastAsia="Times New Roman" w:hAnsi="Times New Roman" w:cs="Times New Roman"/>
          <w:sz w:val="28"/>
          <w:szCs w:val="28"/>
          <w:highlight w:val="none"/>
        </w:rPr>
        <w:t>фио</w:t>
      </w:r>
      <w:r>
        <w:rPr>
          <w:rFonts w:ascii="Times New Roman" w:eastAsia="Times New Roman" w:hAnsi="Times New Roman" w:cs="Times New Roman"/>
          <w:sz w:val="28"/>
          <w:szCs w:val="28"/>
          <w:highlight w:val="none"/>
        </w:rPr>
        <w:t>, действующей в защиту неопределенного круга лиц</w:t>
      </w:r>
      <w:r>
        <w:rPr>
          <w:rFonts w:ascii="Times New Roman" w:eastAsia="Times New Roman" w:hAnsi="Times New Roman" w:cs="Times New Roman"/>
          <w:sz w:val="28"/>
          <w:szCs w:val="28"/>
          <w:highlight w:val="none"/>
        </w:rPr>
        <w:t xml:space="preserve"> к ГБУ «Жилищник </w:t>
      </w:r>
      <w:r>
        <w:rPr>
          <w:rStyle w:val="cat-Addressgrp-3rplc-6"/>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о понуждении к выполнению требований санитарных правил, </w:t>
      </w:r>
    </w:p>
    <w:p>
      <w:pPr>
        <w:spacing w:before="0" w:after="0" w:line="235" w:lineRule="auto"/>
        <w:ind w:firstLine="709"/>
        <w:jc w:val="both"/>
        <w:rPr>
          <w:sz w:val="28"/>
          <w:szCs w:val="28"/>
        </w:rPr>
      </w:pPr>
    </w:p>
    <w:p>
      <w:pPr>
        <w:spacing w:before="0" w:after="0" w:line="235" w:lineRule="auto"/>
        <w:jc w:val="center"/>
        <w:rPr>
          <w:sz w:val="28"/>
          <w:szCs w:val="28"/>
        </w:rPr>
      </w:pPr>
      <w:r>
        <w:rPr>
          <w:rFonts w:ascii="Times New Roman" w:eastAsia="Times New Roman" w:hAnsi="Times New Roman" w:cs="Times New Roman"/>
          <w:b/>
          <w:bCs/>
          <w:sz w:val="28"/>
          <w:szCs w:val="28"/>
          <w:highlight w:val="none"/>
        </w:rPr>
        <w:t>УСТАНОВИЛ:</w:t>
      </w:r>
    </w:p>
    <w:p>
      <w:pPr>
        <w:spacing w:before="0" w:after="0" w:line="235" w:lineRule="auto"/>
        <w:ind w:firstLine="567"/>
        <w:jc w:val="both"/>
        <w:rPr>
          <w:sz w:val="28"/>
          <w:szCs w:val="28"/>
        </w:rPr>
      </w:pP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Главный государственный санитарный врач по </w:t>
      </w:r>
      <w:r>
        <w:rPr>
          <w:rStyle w:val="cat-Addressgrp-2rplc-7"/>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Style w:val="cat-FIOgrp-11rplc-8"/>
          <w:rFonts w:ascii="Times New Roman" w:eastAsia="Times New Roman" w:hAnsi="Times New Roman" w:cs="Times New Roman"/>
          <w:sz w:val="28"/>
          <w:szCs w:val="28"/>
          <w:highlight w:val="none"/>
        </w:rPr>
        <w:t>фио</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действующ</w:t>
      </w:r>
      <w:r>
        <w:rPr>
          <w:rFonts w:ascii="Times New Roman" w:eastAsia="Times New Roman" w:hAnsi="Times New Roman" w:cs="Times New Roman"/>
          <w:sz w:val="28"/>
          <w:szCs w:val="28"/>
          <w:highlight w:val="none"/>
        </w:rPr>
        <w:t>ая</w:t>
      </w:r>
      <w:r>
        <w:rPr>
          <w:rFonts w:ascii="Times New Roman" w:eastAsia="Times New Roman" w:hAnsi="Times New Roman" w:cs="Times New Roman"/>
          <w:sz w:val="28"/>
          <w:szCs w:val="28"/>
          <w:highlight w:val="none"/>
        </w:rPr>
        <w:t xml:space="preserve"> в защиту неопределенного круга лиц</w:t>
      </w:r>
      <w:r>
        <w:rPr>
          <w:rFonts w:ascii="Times New Roman" w:eastAsia="Times New Roman" w:hAnsi="Times New Roman" w:cs="Times New Roman"/>
          <w:sz w:val="28"/>
          <w:szCs w:val="28"/>
          <w:highlight w:val="none"/>
        </w:rPr>
        <w:t xml:space="preserve"> обратил</w:t>
      </w:r>
      <w:r>
        <w:rPr>
          <w:rFonts w:ascii="Times New Roman" w:eastAsia="Times New Roman" w:hAnsi="Times New Roman" w:cs="Times New Roman"/>
          <w:sz w:val="28"/>
          <w:szCs w:val="28"/>
          <w:highlight w:val="none"/>
        </w:rPr>
        <w:t>ась</w:t>
      </w:r>
      <w:r>
        <w:rPr>
          <w:rFonts w:ascii="Times New Roman" w:eastAsia="Times New Roman" w:hAnsi="Times New Roman" w:cs="Times New Roman"/>
          <w:sz w:val="28"/>
          <w:szCs w:val="28"/>
          <w:highlight w:val="none"/>
        </w:rPr>
        <w:t xml:space="preserve"> в суд с иском к ГБУ «Жилищник </w:t>
      </w:r>
      <w:r>
        <w:rPr>
          <w:rStyle w:val="cat-Addressgrp-4rplc-9"/>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в котором просит признать противоправными действия, а именно: выполнение работ с превышением уровня шума по адресу: </w:t>
      </w:r>
      <w:r>
        <w:rPr>
          <w:rStyle w:val="cat-Addressgrp-5rplc-10"/>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6А, в том числе использование техники вблизи жилых домов;</w:t>
      </w:r>
      <w:r>
        <w:rPr>
          <w:rFonts w:ascii="Times New Roman" w:eastAsia="Times New Roman" w:hAnsi="Times New Roman" w:cs="Times New Roman"/>
          <w:sz w:val="28"/>
          <w:szCs w:val="28"/>
          <w:highlight w:val="none"/>
        </w:rPr>
        <w:t xml:space="preserve"> размещение базы ОДХ ГБУ «Жилищник </w:t>
      </w:r>
      <w:r>
        <w:rPr>
          <w:rStyle w:val="cat-Addressgrp-4rplc-1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без разработанного проекта санитарно-защитной зоны. Также истец просит обязать ГБУ «Жилищник </w:t>
      </w:r>
      <w:r>
        <w:rPr>
          <w:rStyle w:val="cat-Addressgrp-4rplc-12"/>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не выполнять шумные работы по адресу: </w:t>
      </w:r>
      <w:r>
        <w:rPr>
          <w:rStyle w:val="cat-Addressgrp-5rplc-13"/>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в том числе не использовать технику; разработать проект санитарно-защитной зоны для базы ОДХ ГБУ «Жилищник </w:t>
      </w:r>
      <w:r>
        <w:rPr>
          <w:rStyle w:val="cat-Addressgrp-4rplc-1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в случае невозможности выполнения требования о разработке проекта санитарно-защитной зоны по адресу: </w:t>
      </w:r>
      <w:r>
        <w:rPr>
          <w:rStyle w:val="cat-Addressgrp-5rplc-15"/>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переместить базу ОДХ ГБУ «Жилищник </w:t>
      </w:r>
      <w:r>
        <w:rPr>
          <w:rStyle w:val="cat-Addressgrp-4rplc-16"/>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В обоснование требований указано, что ГБУ «Жилищник </w:t>
      </w:r>
      <w:r>
        <w:rPr>
          <w:rStyle w:val="cat-Addressgrp-4rplc-17"/>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допущено нарушение санитарно-эпидемиологических требований к эксплуатации жилых помещений и общественных помещений, зданий, сооружений и транспорта, которое выразилось в превышение допустимого уровня шума по адресу: </w:t>
      </w:r>
      <w:r>
        <w:rPr>
          <w:rStyle w:val="cat-Addressgrp-5rplc-18"/>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от базы ОДХ ГБУ «Жилищник </w:t>
      </w:r>
      <w:r>
        <w:rPr>
          <w:rStyle w:val="cat-Addressgrp-4rplc-19"/>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 факту выявленного правонарушения составлен протокол об административном правонарушении от 26.07.2021. Постановлением Басманного районного суда </w:t>
      </w:r>
      <w:r>
        <w:rPr>
          <w:rStyle w:val="cat-Addressgrp-0rplc-20"/>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 делу № 5-1629/2021 от 15.10.2021 ГБУ «Жилищник </w:t>
      </w:r>
      <w:r>
        <w:rPr>
          <w:rStyle w:val="cat-Addressgrp-4rplc-2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признано виновным в совершении административного правонарушения, предусмотренного ст. 6.4. КоАП РФ. </w:t>
      </w:r>
      <w:r>
        <w:rPr>
          <w:rFonts w:ascii="Times New Roman" w:eastAsia="Times New Roman" w:hAnsi="Times New Roman" w:cs="Times New Roman"/>
          <w:sz w:val="28"/>
          <w:szCs w:val="28"/>
          <w:highlight w:val="none"/>
        </w:rPr>
        <w:t xml:space="preserve">ГБУ «Жилищник </w:t>
      </w:r>
      <w:r>
        <w:rPr>
          <w:rStyle w:val="cat-Addressgrp-4rplc-22"/>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до настоящего времени допущено нарушение санитарно-</w:t>
      </w:r>
      <w:r>
        <w:rPr>
          <w:rFonts w:ascii="Times New Roman" w:eastAsia="Times New Roman" w:hAnsi="Times New Roman" w:cs="Times New Roman"/>
          <w:sz w:val="28"/>
          <w:szCs w:val="28"/>
          <w:highlight w:val="none"/>
        </w:rPr>
        <w:t xml:space="preserve">эпидемиологических требований к эксплуатации жилых помещений и общественных помещений, зданий, сооружений и транспорта, которое выразилось в превышение допустимого уровня шума по адресу: </w:t>
      </w:r>
      <w:r>
        <w:rPr>
          <w:rStyle w:val="cat-Addressgrp-5rplc-23"/>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от базы ОДХ ГБУ «Жилищник </w:t>
      </w:r>
      <w:r>
        <w:rPr>
          <w:rStyle w:val="cat-Addressgrp-4rplc-2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28.12.2024 ответчику было выдано предписание № 23-00455-1 сроком до 01.03.2025 провести измерение уровня шума и представить в</w:t>
      </w:r>
      <w:r>
        <w:rPr>
          <w:rFonts w:ascii="Times New Roman" w:eastAsia="Times New Roman" w:hAnsi="Times New Roman" w:cs="Times New Roman"/>
          <w:sz w:val="28"/>
          <w:szCs w:val="28"/>
          <w:highlight w:val="none"/>
        </w:rPr>
        <w:t xml:space="preserve"> Управление Федеральной службы по надзору в сфере защиты прав потребителей и благополучия человека по </w:t>
      </w:r>
      <w:r>
        <w:rPr>
          <w:rStyle w:val="cat-Addressgrp-6rplc-25"/>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заявление об установлении санитарно-защитной зоны. Предписание до настоящего времени со стороны ответчика не исполнено. По результатам экспертного заключения № 23-06-00606 от 15.04.2025 выявлено превышение допустимого уровня шума по адресу: </w:t>
      </w:r>
      <w:r>
        <w:rPr>
          <w:rStyle w:val="cat-Addressgrp-5rplc-26"/>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от базы ОДХ ГБУ «Жилищник </w:t>
      </w:r>
      <w:r>
        <w:rPr>
          <w:rStyle w:val="cat-Addressgrp-4rplc-27"/>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в связи с чем, истец обратился в суд с иском.</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Представитель истца Главного государственного санитарного врача по </w:t>
      </w:r>
      <w:r>
        <w:rPr>
          <w:rStyle w:val="cat-Addressgrp-2rplc-28"/>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Style w:val="cat-FIOgrp-11rplc-29"/>
          <w:rFonts w:ascii="Times New Roman" w:eastAsia="Times New Roman" w:hAnsi="Times New Roman" w:cs="Times New Roman"/>
          <w:sz w:val="28"/>
          <w:szCs w:val="28"/>
          <w:highlight w:val="none"/>
        </w:rPr>
        <w:t>фио</w:t>
      </w:r>
      <w:r>
        <w:rPr>
          <w:rFonts w:ascii="Times New Roman" w:eastAsia="Times New Roman" w:hAnsi="Times New Roman" w:cs="Times New Roman"/>
          <w:sz w:val="28"/>
          <w:szCs w:val="28"/>
          <w:highlight w:val="none"/>
        </w:rPr>
        <w:t xml:space="preserve"> - </w:t>
      </w:r>
      <w:r>
        <w:rPr>
          <w:rStyle w:val="cat-FIOgrp-12rplc-30"/>
          <w:rFonts w:ascii="Times New Roman" w:eastAsia="Times New Roman" w:hAnsi="Times New Roman" w:cs="Times New Roman"/>
          <w:sz w:val="28"/>
          <w:szCs w:val="28"/>
          <w:highlight w:val="none"/>
        </w:rPr>
        <w:t>фио</w:t>
      </w:r>
      <w:r>
        <w:rPr>
          <w:rFonts w:ascii="Times New Roman" w:eastAsia="Times New Roman" w:hAnsi="Times New Roman" w:cs="Times New Roman"/>
          <w:sz w:val="28"/>
          <w:szCs w:val="28"/>
          <w:highlight w:val="none"/>
        </w:rPr>
        <w:t xml:space="preserve"> в судебное заседание явился, исковые требования поддержал в полном объеме.</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Представитель ответчика ГБУ «Жилищник </w:t>
      </w:r>
      <w:r>
        <w:rPr>
          <w:rStyle w:val="cat-Addressgrp-4rplc-3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Style w:val="cat-FIOgrp-13rplc-32"/>
          <w:rFonts w:ascii="Times New Roman" w:eastAsia="Times New Roman" w:hAnsi="Times New Roman" w:cs="Times New Roman"/>
          <w:sz w:val="28"/>
          <w:szCs w:val="28"/>
          <w:highlight w:val="none"/>
        </w:rPr>
        <w:t>фио</w:t>
      </w:r>
      <w:r>
        <w:rPr>
          <w:rFonts w:ascii="Times New Roman" w:eastAsia="Times New Roman" w:hAnsi="Times New Roman" w:cs="Times New Roman"/>
          <w:sz w:val="28"/>
          <w:szCs w:val="28"/>
          <w:highlight w:val="none"/>
        </w:rPr>
        <w:t xml:space="preserve"> в судебное заседание явилась, возражала против удовлетворения требований по доводам, изложенным в письменных возражениях, согласно которым ответчику был выделен дополнительный земельный участок по адресу: </w:t>
      </w:r>
      <w:r>
        <w:rPr>
          <w:rStyle w:val="cat-Addressgrp-7rplc-33"/>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После предоставления земельного участка коммунальная техника, задействованная в выполнении технологических операций перемещена с базы ОДХ ГБУ «Жилищник </w:t>
      </w:r>
      <w:r>
        <w:rPr>
          <w:rStyle w:val="cat-Addressgrp-4rplc-3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 адресу: </w:t>
      </w:r>
      <w:r>
        <w:rPr>
          <w:rStyle w:val="cat-Addressgrp-5rplc-35"/>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В настоящее время на территории базы по адресу: </w:t>
      </w:r>
      <w:r>
        <w:rPr>
          <w:rStyle w:val="cat-Addressgrp-5rplc-36"/>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6А, располагается техника, находящаяся в статусе «ремонт», «сезонное хранение», «консервация».</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Выслушав представителей сторон, исследовав материалы дела, суд приходит к следующему.</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Отношения в области обеспечения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 регулирует Федеральный закона от 30.03.1999 № 52-ФЗ «О санитарно-эпидемиологическом благополучии населения» (далее ФЗ-№ 52).</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В соответствии с п. 2 ст. 2 Федерального закона от 30.03.1999 № 52-ФЗ «О санитарно-эпидемиологическом благополучии населения»,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В соответствии с </w:t>
      </w:r>
      <w:r>
        <w:rPr>
          <w:rFonts w:ascii="Times New Roman" w:eastAsia="Times New Roman" w:hAnsi="Times New Roman" w:cs="Times New Roman"/>
          <w:sz w:val="28"/>
          <w:szCs w:val="28"/>
          <w:highlight w:val="none"/>
        </w:rPr>
        <w:t>пп</w:t>
      </w:r>
      <w:r>
        <w:rPr>
          <w:rFonts w:ascii="Times New Roman" w:eastAsia="Times New Roman" w:hAnsi="Times New Roman" w:cs="Times New Roman"/>
          <w:sz w:val="28"/>
          <w:szCs w:val="28"/>
          <w:highlight w:val="none"/>
        </w:rPr>
        <w:t xml:space="preserve">. 2 п. 1 ст. 51 Федерального закона от 30.03.1999 № 52-ФЗ «О санитарно-эпидемиологическом благополучии населения», главные государственные санитарные врачи и их заместители наряду с </w:t>
      </w:r>
      <w:r>
        <w:rPr>
          <w:rFonts w:ascii="Times New Roman" w:eastAsia="Times New Roman" w:hAnsi="Times New Roman" w:cs="Times New Roman"/>
          <w:sz w:val="28"/>
          <w:szCs w:val="28"/>
          <w:highlight w:val="none"/>
        </w:rPr>
        <w:t>правами, предусмотренными статьей 50 настоящего Федерального закона, наделяются полномочиями предъявлять иски в суд и арбитражный суд в случае нарушения санитарного законодательства.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В соответствии с п. 4 ч. 2 ст. 90 Федерального закона от 31.07.2020 № 248-ФЗ «О государственном контроле (надзоре) и муниципальном контроле в Российской Федерации»,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принять меры по осуществлению контроля за устранением выявленных нарушений обязательных требований, предупреждению</w:t>
      </w:r>
      <w:r>
        <w:rPr>
          <w:rFonts w:ascii="Times New Roman" w:eastAsia="Times New Roman" w:hAnsi="Times New Roman" w:cs="Times New Roman"/>
          <w:sz w:val="28"/>
          <w:szCs w:val="28"/>
          <w:highlight w:val="none"/>
        </w:rPr>
        <w:t xml:space="preserve">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Согласно Положению о Федеральной службе по надзору в сфере защиты прав потребителей и благополучия человека, утвержденному постановлением Правительства РФ от 30.06.2004 № 322, служба является уполномоченным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потребительского рынка.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В соответствии с п. 2 ст. 24 Федерального закона от 30.03.1999 № 52-ФЗ «О санитарно-эпидемиологическом благополучии населения»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В соответствии с п. 1 ст. 27 ФЗ-№ 52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Обязательные нормативы физических факторов в помещениях жилых и общественных зданий установлены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в пункте 5 таблицы 5.35 п. 100 которых установлены параметры шума для жилых комнат квартир как в дневное время (с 07 до 23 часов), так и в</w:t>
      </w:r>
      <w:r>
        <w:rPr>
          <w:rFonts w:ascii="Times New Roman" w:eastAsia="Times New Roman" w:hAnsi="Times New Roman" w:cs="Times New Roman"/>
          <w:sz w:val="28"/>
          <w:szCs w:val="28"/>
          <w:highlight w:val="none"/>
        </w:rPr>
        <w:t xml:space="preserve"> ночное время (с 23 до 07 часов), для тонального и импульсного шума принята поправка 5 ДБА.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Порядок контроля уровней шума на территории жилой застройки, в жилых и общественных зданиях для оценки их соответствия требованиям гигиенических нормативов определен Методическими указаниями «Контроль уровня шума на территории жилой застройки, в жилых и общественных зданиях и помещениях. Методические указания. МУК 4.3.3722-21», </w:t>
      </w:r>
      <w:r>
        <w:rPr>
          <w:rFonts w:ascii="Times New Roman" w:eastAsia="Times New Roman" w:hAnsi="Times New Roman" w:cs="Times New Roman"/>
          <w:sz w:val="28"/>
          <w:szCs w:val="28"/>
          <w:highlight w:val="none"/>
        </w:rPr>
        <w:t>утвержденными</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Роспотребнадзором</w:t>
      </w:r>
      <w:r>
        <w:rPr>
          <w:rFonts w:ascii="Times New Roman" w:eastAsia="Times New Roman" w:hAnsi="Times New Roman" w:cs="Times New Roman"/>
          <w:sz w:val="28"/>
          <w:szCs w:val="28"/>
          <w:highlight w:val="none"/>
        </w:rPr>
        <w:t xml:space="preserve"> 27.12.2021. (далее-МУК 4.3.3722-21).</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Согласно п. 2.2 МУК 4.3.3722-21 оценка уровня шума на соответствие гигиеническим нормативам проводится с учетом всех источников шума, оказывающих воздействие на помещение или территорию. </w:t>
      </w:r>
      <w:r>
        <w:rPr>
          <w:rFonts w:ascii="Times New Roman" w:eastAsia="Times New Roman" w:hAnsi="Times New Roman" w:cs="Times New Roman"/>
          <w:sz w:val="28"/>
          <w:szCs w:val="28"/>
          <w:highlight w:val="none"/>
        </w:rPr>
        <w:t>При этом применяются требования, учитывающие особенности оценки шума отдельных источников, установленные названными методическими указаниями; перечень источников шума в жилых помещениях и общественных зданиях включает: источники внешнего шума, в том числе, транспорт, объекты производства различных работ на окружающей территории (например, ремонтных, строительных).</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Согласно п. 4 ст. 17 ЖК РФ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правилами пользования жилыми помещениями, утвержденными уполномоченным Правительством Российской Федерации федеральным органом исполнительной власти.</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Согласно ст. 11 Федерального закона от 30.03.1999 № 52-ФЗ санитарно-эпидемиологическом благополучии населения», индивидуальные предприниматели и юридические лица в соответствии с осуществляемой деятельностью обязаны 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Согласно п. 3 ст. 39 Федерального закона от 30.03.1999 № 52-ФЗ санитарно-эпидемиологическом </w:t>
      </w:r>
      <w:r>
        <w:rPr>
          <w:rFonts w:ascii="Times New Roman" w:eastAsia="Times New Roman" w:hAnsi="Times New Roman" w:cs="Times New Roman"/>
          <w:sz w:val="28"/>
          <w:szCs w:val="28"/>
          <w:highlight w:val="none"/>
        </w:rPr>
        <w:t>благополучии</w:t>
      </w:r>
      <w:r>
        <w:rPr>
          <w:rFonts w:ascii="Times New Roman" w:eastAsia="Times New Roman" w:hAnsi="Times New Roman" w:cs="Times New Roman"/>
          <w:sz w:val="28"/>
          <w:szCs w:val="28"/>
          <w:highlight w:val="none"/>
        </w:rPr>
        <w:t xml:space="preserve"> населения» соблюдение санитарных правил является обязательным для граждан, индивидуальных предпринимателей и юридических лиц.</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Статья 10 Федерального закона от 30.12.2009 года N 384-ФЗ "Технический регламент о безопасности зданий и сооружений", устанавливая требования безопасных для здоровья человека условий проживания и пребывания в зданиях и сооружениях и перечисляя показатели среды, по которым эта безопасность должна быть обеспечена, относит к ним и защиту от шума в помещениях жилых зданий (п. 5 ч. 2 ст. 10).</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Количественные и (или) качественные значения показателя, характеризующего тот или иной фактор среды обитания с позиций его безопасности или безвредности для человека, содержат нормы санитарных правил.</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Постановлением Правительства Российской Федерации от 3 марта 2018 г. N 222 утверждены Правила установления санитарно-защитных зон и использования земельных участков, расположенных в границах санитарно-защитных зон (далее - Правила).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В соответствии с п. 2 постановления Правительства Российской Федерации от 3 марта 2018 г. N 222 правообладатели объектов капитального строительства, введенных в эксплуатацию до дня вступления в силу настоящего постановления, в отношении которых подлежат установлению санитарно-защитные зоны, обязаны провести исследования (измерения) атмосферного воздуха, уровней физического и (или) биологического воздействия на атмосферный воздух за контуром объекта и представить в Федеральную службу</w:t>
      </w:r>
      <w:r>
        <w:rPr>
          <w:rFonts w:ascii="Times New Roman" w:eastAsia="Times New Roman" w:hAnsi="Times New Roman" w:cs="Times New Roman"/>
          <w:sz w:val="28"/>
          <w:szCs w:val="28"/>
          <w:highlight w:val="none"/>
        </w:rPr>
        <w:t xml:space="preserve"> по надзору в сфере защиты прав потребителей и благополучия человека заявление об установлении санитарно-защитной зоны с приложением к нему документов, предусмотренных п. 14 Правил, утвержденных данным постановлением, в срок не более одного года со дня вступления в силу настоящего постановления.</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Пунктом 1 правил предусмотрено, что санитарно-защитные зоны устанавливаются в отношении действующих,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Согласно </w:t>
      </w:r>
      <w:r>
        <w:rPr>
          <w:rFonts w:ascii="Times New Roman" w:eastAsia="Times New Roman" w:hAnsi="Times New Roman" w:cs="Times New Roman"/>
          <w:sz w:val="28"/>
          <w:szCs w:val="28"/>
          <w:highlight w:val="none"/>
        </w:rPr>
        <w:t>пп</w:t>
      </w:r>
      <w:r>
        <w:rPr>
          <w:rFonts w:ascii="Times New Roman" w:eastAsia="Times New Roman" w:hAnsi="Times New Roman" w:cs="Times New Roman"/>
          <w:sz w:val="28"/>
          <w:szCs w:val="28"/>
          <w:highlight w:val="none"/>
        </w:rPr>
        <w:t>. "а" и "б" п. 14 правил к заявлению об установлении или изменении санитарно-защитной зоны прилагаются: проект санитарно-защитной зоны и экспертное заключение о проведении санитарно-эпидемиологический экспертизы в отношении проекта санитарно-защитной зоны.</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Судом установлено, что по адресу: </w:t>
      </w:r>
      <w:r>
        <w:rPr>
          <w:rStyle w:val="cat-Addressgrp-5rplc-37"/>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располагается база ОДХ ГБУ «Жилищник </w:t>
      </w:r>
      <w:r>
        <w:rPr>
          <w:rStyle w:val="cat-Addressgrp-4rplc-38"/>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ГБУ «Жилищник </w:t>
      </w:r>
      <w:r>
        <w:rPr>
          <w:rStyle w:val="cat-Addressgrp-4rplc-39"/>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допущено нарушение санитарно-эпидемиологических требований к эксплуатации жилых помещений и общественных помещений, зданий, сооружений и транспорта, которое выразилось в превышение допустимого уровня шума по адресу: </w:t>
      </w:r>
      <w:r>
        <w:rPr>
          <w:rStyle w:val="cat-Addressgrp-5rplc-40"/>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от базы ОДХ ГБУ «Жилищник </w:t>
      </w:r>
      <w:r>
        <w:rPr>
          <w:rStyle w:val="cat-Addressgrp-4rplc-4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 факту выявленного правонарушения составлен протокол об административном правонарушении от 26.07.2021. Постановлением Басманного районного суда </w:t>
      </w:r>
      <w:r>
        <w:rPr>
          <w:rStyle w:val="cat-Addressgrp-0rplc-42"/>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 делу № 5-1629/2021 от 15.10.2021 ГБУ «Жилищник </w:t>
      </w:r>
      <w:r>
        <w:rPr>
          <w:rStyle w:val="cat-Addressgrp-4rplc-43"/>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признано виновным в совершении административного правонарушения, предусмотренного ст. 6.4. КоАП РФ.</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Впоследствии ответчику был выделен дополнительный земельный участок по адресу: </w:t>
      </w:r>
      <w:r>
        <w:rPr>
          <w:rStyle w:val="cat-Addressgrp-8rplc-4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безвозмездное срочное пользование на основании договора безвозмездного пользования №М-01-616483 от 19.09.2023.</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На территории базы по адресу: </w:t>
      </w:r>
      <w:r>
        <w:rPr>
          <w:rStyle w:val="cat-Addressgrp-5rplc-45"/>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располагается техника учреждения, находящаяся в статусе «Ремонт», </w:t>
      </w:r>
      <w:r>
        <w:rPr>
          <w:rFonts w:ascii="Times New Roman" w:eastAsia="Times New Roman" w:hAnsi="Times New Roman" w:cs="Times New Roman"/>
          <w:sz w:val="28"/>
          <w:szCs w:val="28"/>
          <w:highlight w:val="none"/>
        </w:rPr>
        <w:t>«Сезонное хранение», «Консервация», соответственно только та техника, которая не осуществляет выезд на линии.</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28.12.2024 ответчику было выдано предписание № 23-00455-1 сроком до 01.03.2025 </w:t>
      </w:r>
      <w:r>
        <w:rPr>
          <w:rFonts w:ascii="Times New Roman" w:eastAsia="Times New Roman" w:hAnsi="Times New Roman" w:cs="Times New Roman"/>
          <w:sz w:val="28"/>
          <w:szCs w:val="28"/>
          <w:highlight w:val="none"/>
        </w:rPr>
        <w:t>провести</w:t>
      </w:r>
      <w:r>
        <w:rPr>
          <w:rFonts w:ascii="Times New Roman" w:eastAsia="Times New Roman" w:hAnsi="Times New Roman" w:cs="Times New Roman"/>
          <w:sz w:val="28"/>
          <w:szCs w:val="28"/>
          <w:highlight w:val="none"/>
        </w:rPr>
        <w:t xml:space="preserve"> измерение уровня шума и представить в Управление Федеральной службы по надзору в сфере защиты прав потребителей и благополучия человека по </w:t>
      </w:r>
      <w:r>
        <w:rPr>
          <w:rStyle w:val="cat-Addressgrp-6rplc-46"/>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заявление об установлении санитарно-защитной зоны. Предписание до настоящего времени со стороны ответчика не исполнено. </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По результатам экспертного заключения № 23-06-00606 от 15.04.2025 выявлено превышение допустимого уровня шума по адресу: </w:t>
      </w:r>
      <w:r>
        <w:rPr>
          <w:rStyle w:val="cat-Addressgrp-5rplc-47"/>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от базы ОДХ ГБУ «Жилищник </w:t>
      </w:r>
      <w:r>
        <w:rPr>
          <w:rStyle w:val="cat-Addressgrp-4rplc-48"/>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Вступившим в законную силу решением Арбитражного суда </w:t>
      </w:r>
      <w:r>
        <w:rPr>
          <w:rStyle w:val="cat-Addressgrp-0rplc-49"/>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от 26.04.2024 по делу № А40-242522/23-23-1758 в удовлетворении требований к ГБУ «Жилищник </w:t>
      </w:r>
      <w:r>
        <w:rPr>
          <w:rStyle w:val="cat-Addressgrp-4rplc-50"/>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о признании действий по несоблюдению требований ст. 11, ст. 24 ФЗ от 30.03.1999 № 52- ФЗ, п. 130 СанПиН 1.2.3684-21, п. 100 (п. 5 таб. 5.35) СанПиН 1.2.3685-21, п. 5.1 СанПиН 2.2.1/2.1.1.1200-03 противоправными, </w:t>
      </w:r>
      <w:r>
        <w:rPr>
          <w:rFonts w:ascii="Times New Roman" w:eastAsia="Times New Roman" w:hAnsi="Times New Roman" w:cs="Times New Roman"/>
          <w:sz w:val="28"/>
          <w:szCs w:val="28"/>
          <w:highlight w:val="none"/>
        </w:rPr>
        <w:t>обязании</w:t>
      </w:r>
      <w:r>
        <w:rPr>
          <w:rFonts w:ascii="Times New Roman" w:eastAsia="Times New Roman" w:hAnsi="Times New Roman" w:cs="Times New Roman"/>
          <w:sz w:val="28"/>
          <w:szCs w:val="28"/>
          <w:highlight w:val="none"/>
        </w:rPr>
        <w:t xml:space="preserve"> устранить и </w:t>
      </w:r>
      <w:r>
        <w:rPr>
          <w:rFonts w:ascii="Times New Roman" w:eastAsia="Times New Roman" w:hAnsi="Times New Roman" w:cs="Times New Roman"/>
          <w:sz w:val="28"/>
          <w:szCs w:val="28"/>
          <w:highlight w:val="none"/>
        </w:rPr>
        <w:t>обеспечить соблюдение указанных требований отказано</w:t>
      </w:r>
      <w:r>
        <w:rPr>
          <w:rFonts w:ascii="Times New Roman" w:eastAsia="Times New Roman" w:hAnsi="Times New Roman" w:cs="Times New Roman"/>
          <w:sz w:val="28"/>
          <w:szCs w:val="28"/>
          <w:highlight w:val="none"/>
        </w:rPr>
        <w:t xml:space="preserve"> с указанием на то, что само по себе превышение уровня шума не может носить характер непосредственной угрозы причинения вреда здоровью граждан.</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В силу положений ст. 56 ГПК РФ, содержание которой следует рассматривать в контексте п.3 ст.123 Конституции РФ и ст. 12 ГПК РФ,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Согласно п. 1 ст. 1065 ГК РФ</w:t>
      </w:r>
      <w:r>
        <w:rPr>
          <w:rFonts w:ascii="Times New Roman" w:eastAsia="Times New Roman" w:hAnsi="Times New Roman" w:cs="Times New Roman"/>
          <w:sz w:val="28"/>
          <w:szCs w:val="28"/>
          <w:highlight w:val="none"/>
        </w:rPr>
        <w:t xml:space="preserve"> опасность причинения вреда в будущем может явиться основанием к иску о запрещении деятельности, создающей такую опасность. В соответствии с п. 2 ст. 1065 ГК РФ,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 или прекратить соответствующую деятельность. 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общественным интересам. Отказ в приостановлении либо прекращении такой деятельности не лишает потерпевших права на возмещение причиненного этой деятельностью вреда.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Защита гражданских прав, в силу ст. 12 ГК РФ осуществляется путем: признания права; восстановления положения, существовавшего до нарушения права, и пресечения действий, нарушающих право или создающих угрозу его нарушения; признания оспоримой сделки недействительной и применении последствий ее недействительности, применения последствий недействительности ничтожной сделки; признании </w:t>
      </w:r>
      <w:r>
        <w:rPr>
          <w:rFonts w:ascii="Times New Roman" w:eastAsia="Times New Roman" w:hAnsi="Times New Roman" w:cs="Times New Roman"/>
          <w:sz w:val="28"/>
          <w:szCs w:val="28"/>
          <w:highlight w:val="none"/>
        </w:rPr>
        <w:t>недействительным акта государственного органа или органа местного самоуправления;</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самозащиты права; присуждения к исполнении обязанности в натуре; возмещения убытков; взыскания неустойки; компенсации морального вреда; прекращения или изменения правоотношения; неприменения судом акта 4 государственного органа или органа местного самоуправления, противоречащего закону; иными способами, предусмотренными законом.</w:t>
      </w:r>
      <w:r>
        <w:rPr>
          <w:rFonts w:ascii="Times New Roman" w:eastAsia="Times New Roman" w:hAnsi="Times New Roman" w:cs="Times New Roman"/>
          <w:sz w:val="28"/>
          <w:szCs w:val="28"/>
          <w:highlight w:val="none"/>
        </w:rPr>
        <w:t xml:space="preserve"> Таким образом, приведенный в ст. 12 ГК РФ перечень не является исчерпывающим, поскольку законами могут быть предусмотрены и иные способы защиты права.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Требование о признании действий </w:t>
      </w:r>
      <w:r>
        <w:rPr>
          <w:rFonts w:ascii="Times New Roman" w:eastAsia="Times New Roman" w:hAnsi="Times New Roman" w:cs="Times New Roman"/>
          <w:sz w:val="28"/>
          <w:szCs w:val="28"/>
          <w:highlight w:val="none"/>
        </w:rPr>
        <w:t>противоправными</w:t>
      </w:r>
      <w:r>
        <w:rPr>
          <w:rFonts w:ascii="Times New Roman" w:eastAsia="Times New Roman" w:hAnsi="Times New Roman" w:cs="Times New Roman"/>
          <w:sz w:val="28"/>
          <w:szCs w:val="28"/>
          <w:highlight w:val="none"/>
        </w:rPr>
        <w:t xml:space="preserve"> само по себе не влечет восстановление нарушенных прав граждан в сфере санитарного законодательства. </w:t>
      </w:r>
      <w:r>
        <w:rPr>
          <w:rFonts w:ascii="Times New Roman" w:eastAsia="Times New Roman" w:hAnsi="Times New Roman" w:cs="Times New Roman"/>
          <w:sz w:val="28"/>
          <w:szCs w:val="28"/>
          <w:highlight w:val="none"/>
        </w:rPr>
        <w:t>В соответствии с п. 2 ст. 24 Федерального закона от 30.03.1999 № 52-ФЗ «О санитарно-эпидемиологическом благополучии населения»,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Пункт 4 статьи 17 ЖК РФ, пункт 4 статьи 30 ЖК РФ указывают на то, что пользование жилым помещением гражданином не должно нарушать прав и законных интересов других граждан, в частности, соседей. Граждане, находясь в своем жилище, вправе пользоваться тишиной и </w:t>
      </w:r>
      <w:r>
        <w:rPr>
          <w:rFonts w:ascii="Times New Roman" w:eastAsia="Times New Roman" w:hAnsi="Times New Roman" w:cs="Times New Roman"/>
          <w:sz w:val="28"/>
          <w:szCs w:val="28"/>
          <w:highlight w:val="none"/>
        </w:rPr>
        <w:t>покоем</w:t>
      </w:r>
      <w:r>
        <w:rPr>
          <w:rFonts w:ascii="Times New Roman" w:eastAsia="Times New Roman" w:hAnsi="Times New Roman" w:cs="Times New Roman"/>
          <w:sz w:val="28"/>
          <w:szCs w:val="28"/>
          <w:highlight w:val="none"/>
        </w:rPr>
        <w:t xml:space="preserve"> как в ночное, так и в дневное время. Следовательно, право на отдых и досуг предполагает, что каждый, находясь в своем жилище, вправе в ночное время пользоваться покоем и тишиной.</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Оценив представленные доказательства, принимая во внимание вышеизложенное, суд находит требования истца о признании противоправными действий ответчика, а именно: выполнение работ с превышением уровня шума по адресу: </w:t>
      </w:r>
      <w:r>
        <w:rPr>
          <w:rStyle w:val="cat-Addressgrp-5rplc-5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в том числе использование техники вблизи жилых домов; размещение базы ОДХ ГБУ «Жилищник </w:t>
      </w:r>
      <w:r>
        <w:rPr>
          <w:rStyle w:val="cat-Addressgrp-4rplc-52"/>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без разработанного проекта санитарно-защитной зоны, и </w:t>
      </w:r>
      <w:r>
        <w:rPr>
          <w:rFonts w:ascii="Times New Roman" w:eastAsia="Times New Roman" w:hAnsi="Times New Roman" w:cs="Times New Roman"/>
          <w:sz w:val="28"/>
          <w:szCs w:val="28"/>
          <w:highlight w:val="none"/>
        </w:rPr>
        <w:t>обязании</w:t>
      </w:r>
      <w:r>
        <w:rPr>
          <w:rFonts w:ascii="Times New Roman" w:eastAsia="Times New Roman" w:hAnsi="Times New Roman" w:cs="Times New Roman"/>
          <w:sz w:val="28"/>
          <w:szCs w:val="28"/>
          <w:highlight w:val="none"/>
        </w:rPr>
        <w:t xml:space="preserve"> не выполнять шумные работы по адресу: </w:t>
      </w:r>
      <w:r>
        <w:rPr>
          <w:rStyle w:val="cat-Addressgrp-5rplc-53"/>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в том числе не использовать технику; разработать проект санитарно-защитной зоны для базы ОДХ ГБУ «Жилищник </w:t>
      </w:r>
      <w:r>
        <w:rPr>
          <w:rStyle w:val="cat-Addressgrp-4rplc-5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обоснованными и подлежащими удовлетворению.</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При этом, суд не находит оснований для удовлетворения заявленных требований в части возложения обязанности перенести автомобильную базу за пределы прилегающей к многоквартирному жилому дому, поскольку ответчиком осуществляется деятельность в сфере городского хозяйства </w:t>
      </w:r>
      <w:r>
        <w:rPr>
          <w:rStyle w:val="cat-Addressgrp-0rplc-55"/>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База по указанному адресу используется для поддержания надлежащего санитарного содержания дорог и придомовых территорий.</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Кроме того</w:t>
      </w:r>
      <w:r>
        <w:rPr>
          <w:rFonts w:ascii="Times New Roman" w:eastAsia="Times New Roman" w:hAnsi="Times New Roman" w:cs="Times New Roman"/>
          <w:sz w:val="28"/>
          <w:szCs w:val="28"/>
          <w:highlight w:val="none"/>
        </w:rPr>
        <w:t xml:space="preserve">, приостановка данной социально значимой деятельности ответчика приведет к значительным негативным последствиям для населения </w:t>
      </w:r>
      <w:r>
        <w:rPr>
          <w:rStyle w:val="cat-Addressgrp-0rplc-56"/>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и нарушит законные права и интересы неопределённого круга лиц. </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При этом</w:t>
      </w:r>
      <w:r>
        <w:rPr>
          <w:rFonts w:ascii="Times New Roman" w:eastAsia="Times New Roman" w:hAnsi="Times New Roman" w:cs="Times New Roman"/>
          <w:sz w:val="28"/>
          <w:szCs w:val="28"/>
          <w:highlight w:val="none"/>
        </w:rPr>
        <w:t>,</w:t>
      </w:r>
      <w:r>
        <w:rPr>
          <w:rFonts w:ascii="Times New Roman" w:eastAsia="Times New Roman" w:hAnsi="Times New Roman" w:cs="Times New Roman"/>
          <w:sz w:val="28"/>
          <w:szCs w:val="28"/>
          <w:highlight w:val="none"/>
        </w:rPr>
        <w:t xml:space="preserve"> судом учитывается, что на основании нормативных актов уборка объектов дорожного хозяйства в </w:t>
      </w:r>
      <w:r>
        <w:rPr>
          <w:rStyle w:val="cat-Addressgrp-0rplc-57"/>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производится в круглосуточном режиме согласно Регламенту выполнения работ по комплексному содержанию объектов дорожного хозяйства в </w:t>
      </w:r>
      <w:r>
        <w:rPr>
          <w:rStyle w:val="cat-Addressgrp-0rplc-58"/>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на основании Распоряжения Департамента жилищно-коммунального хозяйства </w:t>
      </w:r>
      <w:r>
        <w:rPr>
          <w:rStyle w:val="cat-Addressgrp-0rplc-59"/>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 01-01-14-505/19 21.11.2019. Также судом учитывается факт переноса коммунальной техники, задействованной в выполнении технологических операций с базы ОДХ ГБУ «Жилищник </w:t>
      </w:r>
      <w:r>
        <w:rPr>
          <w:rStyle w:val="cat-Addressgrp-4rplc-60"/>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 адресу: </w:t>
      </w:r>
      <w:r>
        <w:rPr>
          <w:rStyle w:val="cat-Addressgrp-5rplc-6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на новый адрес: </w:t>
      </w:r>
      <w:r>
        <w:rPr>
          <w:rStyle w:val="cat-Addressgrp-7rplc-62"/>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 xml:space="preserve">В настоящее время на территории базы по адресу: </w:t>
      </w:r>
      <w:r>
        <w:rPr>
          <w:rStyle w:val="cat-Addressgrp-5rplc-63"/>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6А, располагается техника, находящееся в статусе «ремонт», «сезонное хранение», «консервация».</w:t>
      </w:r>
      <w:r>
        <w:rPr>
          <w:rFonts w:ascii="Times New Roman" w:eastAsia="Times New Roman" w:hAnsi="Times New Roman" w:cs="Times New Roman"/>
          <w:sz w:val="28"/>
          <w:szCs w:val="28"/>
          <w:highlight w:val="none"/>
        </w:rPr>
        <w:t xml:space="preserve"> </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В соответствии со ст. 103 ГПК РФ с ответчика в доход бюджета </w:t>
      </w:r>
      <w:r>
        <w:rPr>
          <w:rStyle w:val="cat-Addressgrp-0rplc-6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 xml:space="preserve">подлежит взысканию государственная пошлина в размере </w:t>
      </w:r>
      <w:r>
        <w:rPr>
          <w:rStyle w:val="cat-Sumgrp-15rplc-65"/>
          <w:rFonts w:ascii="Times New Roman" w:eastAsia="Times New Roman" w:hAnsi="Times New Roman" w:cs="Times New Roman"/>
          <w:sz w:val="28"/>
          <w:szCs w:val="28"/>
          <w:highlight w:val="none"/>
        </w:rPr>
        <w:t>сумма</w:t>
      </w:r>
      <w:r>
        <w:rPr>
          <w:rFonts w:ascii="Times New Roman" w:eastAsia="Times New Roman" w:hAnsi="Times New Roman" w:cs="Times New Roman"/>
          <w:sz w:val="28"/>
          <w:szCs w:val="28"/>
          <w:highlight w:val="none"/>
        </w:rPr>
        <w:t>, от уплаты которой истец при обращении в суд был освобожден.</w:t>
      </w:r>
    </w:p>
    <w:p>
      <w:pPr>
        <w:spacing w:before="0" w:after="0" w:line="235" w:lineRule="auto"/>
        <w:ind w:firstLine="567"/>
        <w:jc w:val="both"/>
        <w:rPr>
          <w:sz w:val="28"/>
          <w:szCs w:val="28"/>
        </w:rPr>
      </w:pPr>
      <w:r>
        <w:rPr>
          <w:rFonts w:ascii="Times New Roman" w:eastAsia="Times New Roman" w:hAnsi="Times New Roman" w:cs="Times New Roman"/>
          <w:sz w:val="28"/>
          <w:szCs w:val="28"/>
          <w:highlight w:val="none"/>
        </w:rPr>
        <w:t xml:space="preserve">На основании </w:t>
      </w:r>
      <w:r>
        <w:rPr>
          <w:rFonts w:ascii="Times New Roman" w:eastAsia="Times New Roman" w:hAnsi="Times New Roman" w:cs="Times New Roman"/>
          <w:sz w:val="28"/>
          <w:szCs w:val="28"/>
          <w:highlight w:val="none"/>
        </w:rPr>
        <w:t>изложенного</w:t>
      </w:r>
      <w:r>
        <w:rPr>
          <w:rFonts w:ascii="Times New Roman" w:eastAsia="Times New Roman" w:hAnsi="Times New Roman" w:cs="Times New Roman"/>
          <w:sz w:val="28"/>
          <w:szCs w:val="28"/>
          <w:highlight w:val="none"/>
        </w:rPr>
        <w:t>, руководствуясь ст. ст. 194-198 ГПК РФ, суд</w:t>
      </w:r>
    </w:p>
    <w:p>
      <w:pPr>
        <w:spacing w:before="0" w:after="0" w:line="235" w:lineRule="auto"/>
        <w:jc w:val="both"/>
        <w:rPr>
          <w:sz w:val="28"/>
          <w:szCs w:val="28"/>
        </w:rPr>
      </w:pPr>
    </w:p>
    <w:p>
      <w:pPr>
        <w:spacing w:before="0" w:after="0" w:line="235" w:lineRule="auto"/>
        <w:jc w:val="center"/>
        <w:rPr>
          <w:sz w:val="28"/>
          <w:szCs w:val="28"/>
        </w:rPr>
      </w:pPr>
      <w:r>
        <w:rPr>
          <w:rFonts w:ascii="Times New Roman" w:eastAsia="Times New Roman" w:hAnsi="Times New Roman" w:cs="Times New Roman"/>
          <w:b/>
          <w:bCs/>
          <w:sz w:val="28"/>
          <w:szCs w:val="28"/>
          <w:highlight w:val="none"/>
        </w:rPr>
        <w:t>РЕШИЛ:</w:t>
      </w:r>
    </w:p>
    <w:p>
      <w:pPr>
        <w:spacing w:before="0" w:after="0" w:line="235" w:lineRule="auto"/>
        <w:jc w:val="center"/>
        <w:rPr>
          <w:sz w:val="28"/>
          <w:szCs w:val="28"/>
        </w:rPr>
      </w:pPr>
    </w:p>
    <w:p>
      <w:pPr>
        <w:spacing w:before="0" w:after="0" w:line="235" w:lineRule="auto"/>
        <w:ind w:firstLine="709"/>
        <w:jc w:val="both"/>
        <w:rPr>
          <w:sz w:val="28"/>
          <w:szCs w:val="28"/>
        </w:rPr>
      </w:pPr>
      <w:r>
        <w:rPr>
          <w:rFonts w:ascii="Times New Roman" w:eastAsia="Times New Roman" w:hAnsi="Times New Roman" w:cs="Times New Roman"/>
          <w:sz w:val="28"/>
          <w:szCs w:val="28"/>
          <w:highlight w:val="none"/>
        </w:rPr>
        <w:t xml:space="preserve">Признать </w:t>
      </w:r>
      <w:r>
        <w:rPr>
          <w:rFonts w:ascii="Times New Roman" w:eastAsia="Times New Roman" w:hAnsi="Times New Roman" w:cs="Times New Roman"/>
          <w:sz w:val="28"/>
          <w:szCs w:val="28"/>
          <w:highlight w:val="none"/>
        </w:rPr>
        <w:t>незаконными</w:t>
      </w:r>
      <w:r>
        <w:rPr>
          <w:rFonts w:ascii="Times New Roman" w:eastAsia="Times New Roman" w:hAnsi="Times New Roman" w:cs="Times New Roman"/>
          <w:sz w:val="28"/>
          <w:szCs w:val="28"/>
          <w:highlight w:val="none"/>
        </w:rPr>
        <w:t xml:space="preserve"> действия ГБУ «Жилищник </w:t>
      </w:r>
      <w:r>
        <w:rPr>
          <w:rStyle w:val="cat-Addressgrp-3rplc-66"/>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по </w:t>
      </w:r>
      <w:r>
        <w:rPr>
          <w:rFonts w:ascii="Times New Roman" w:eastAsia="Times New Roman" w:hAnsi="Times New Roman" w:cs="Times New Roman"/>
          <w:sz w:val="28"/>
          <w:szCs w:val="28"/>
          <w:highlight w:val="none"/>
        </w:rPr>
        <w:t>выполнени</w:t>
      </w:r>
      <w:r>
        <w:rPr>
          <w:rFonts w:ascii="Times New Roman" w:eastAsia="Times New Roman" w:hAnsi="Times New Roman" w:cs="Times New Roman"/>
          <w:sz w:val="28"/>
          <w:szCs w:val="28"/>
          <w:highlight w:val="none"/>
        </w:rPr>
        <w:t>ю</w:t>
      </w:r>
      <w:r>
        <w:rPr>
          <w:rFonts w:ascii="Times New Roman" w:eastAsia="Times New Roman" w:hAnsi="Times New Roman" w:cs="Times New Roman"/>
          <w:sz w:val="28"/>
          <w:szCs w:val="28"/>
          <w:highlight w:val="none"/>
        </w:rPr>
        <w:t xml:space="preserve"> работ с превышением уровня шума по адресу: </w:t>
      </w:r>
      <w:r>
        <w:rPr>
          <w:rStyle w:val="cat-Addressgrp-5rplc-67"/>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влд</w:t>
      </w:r>
      <w:r>
        <w:rPr>
          <w:rFonts w:ascii="Times New Roman" w:eastAsia="Times New Roman" w:hAnsi="Times New Roman" w:cs="Times New Roman"/>
          <w:sz w:val="28"/>
          <w:szCs w:val="28"/>
          <w:highlight w:val="none"/>
        </w:rPr>
        <w:t xml:space="preserve">. 6А, размещение базы ОДХ ГБУ «Жилищник </w:t>
      </w:r>
      <w:r>
        <w:rPr>
          <w:rStyle w:val="cat-Addressgrp-3rplc-68"/>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без разработанного проекта санитарно-защитной зоны. </w:t>
      </w:r>
    </w:p>
    <w:p>
      <w:pPr>
        <w:spacing w:before="0" w:after="0" w:line="235" w:lineRule="auto"/>
        <w:ind w:firstLine="709"/>
        <w:jc w:val="both"/>
        <w:rPr>
          <w:sz w:val="28"/>
          <w:szCs w:val="28"/>
        </w:rPr>
      </w:pPr>
    </w:p>
    <w:p>
      <w:pPr>
        <w:spacing w:before="0" w:after="0" w:line="235" w:lineRule="auto"/>
        <w:ind w:firstLine="709"/>
        <w:jc w:val="both"/>
        <w:rPr>
          <w:sz w:val="28"/>
          <w:szCs w:val="28"/>
        </w:rPr>
      </w:pPr>
      <w:r>
        <w:rPr>
          <w:rFonts w:ascii="Times New Roman" w:eastAsia="Times New Roman" w:hAnsi="Times New Roman" w:cs="Times New Roman"/>
          <w:sz w:val="28"/>
          <w:szCs w:val="28"/>
          <w:highlight w:val="none"/>
        </w:rPr>
        <w:t xml:space="preserve">Обязать ГБУ «Жилищник </w:t>
      </w:r>
      <w:r>
        <w:rPr>
          <w:rStyle w:val="cat-Addressgrp-4rplc-69"/>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не выполнять </w:t>
      </w:r>
      <w:r>
        <w:rPr>
          <w:rFonts w:ascii="Times New Roman" w:eastAsia="Times New Roman" w:hAnsi="Times New Roman" w:cs="Times New Roman"/>
          <w:sz w:val="28"/>
          <w:szCs w:val="28"/>
          <w:highlight w:val="none"/>
        </w:rPr>
        <w:t xml:space="preserve">работы, превышающие допустимые значения уровня шума, разработать </w:t>
      </w:r>
      <w:r>
        <w:rPr>
          <w:rFonts w:ascii="Times New Roman" w:eastAsia="Times New Roman" w:hAnsi="Times New Roman" w:cs="Times New Roman"/>
          <w:sz w:val="28"/>
          <w:szCs w:val="28"/>
          <w:highlight w:val="none"/>
        </w:rPr>
        <w:t xml:space="preserve">проект санитарно-защитной зоны для базы ОДХ ГБУ «Жилищник </w:t>
      </w:r>
      <w:r>
        <w:rPr>
          <w:rStyle w:val="cat-Addressgrp-3rplc-70"/>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w:t>
      </w:r>
    </w:p>
    <w:p>
      <w:pPr>
        <w:spacing w:before="0" w:after="0" w:line="235" w:lineRule="auto"/>
        <w:ind w:firstLine="709"/>
        <w:jc w:val="both"/>
        <w:rPr>
          <w:sz w:val="28"/>
          <w:szCs w:val="28"/>
        </w:rPr>
      </w:pPr>
      <w:r>
        <w:rPr>
          <w:rFonts w:ascii="Times New Roman" w:eastAsia="Times New Roman" w:hAnsi="Times New Roman" w:cs="Times New Roman"/>
          <w:sz w:val="28"/>
          <w:szCs w:val="28"/>
          <w:highlight w:val="none"/>
        </w:rPr>
        <w:t>В удовлетворении остальной части требований отказать.</w:t>
      </w:r>
    </w:p>
    <w:p>
      <w:pPr>
        <w:spacing w:before="0" w:after="0" w:line="235" w:lineRule="auto"/>
        <w:ind w:firstLine="709"/>
        <w:jc w:val="both"/>
        <w:rPr>
          <w:sz w:val="28"/>
          <w:szCs w:val="28"/>
        </w:rPr>
      </w:pPr>
    </w:p>
    <w:p>
      <w:pPr>
        <w:spacing w:before="0" w:after="0" w:line="235" w:lineRule="auto"/>
        <w:ind w:firstLine="709"/>
        <w:jc w:val="both"/>
        <w:rPr>
          <w:sz w:val="28"/>
          <w:szCs w:val="28"/>
        </w:rPr>
      </w:pPr>
      <w:r>
        <w:rPr>
          <w:rFonts w:ascii="Times New Roman" w:eastAsia="Times New Roman" w:hAnsi="Times New Roman" w:cs="Times New Roman"/>
          <w:sz w:val="28"/>
          <w:szCs w:val="28"/>
          <w:highlight w:val="none"/>
        </w:rPr>
        <w:t xml:space="preserve">Взыскать с </w:t>
      </w:r>
      <w:r>
        <w:rPr>
          <w:rFonts w:ascii="Times New Roman" w:eastAsia="Times New Roman" w:hAnsi="Times New Roman" w:cs="Times New Roman"/>
          <w:sz w:val="28"/>
          <w:szCs w:val="28"/>
          <w:highlight w:val="none"/>
        </w:rPr>
        <w:t xml:space="preserve">ГБУ «Жилищник </w:t>
      </w:r>
      <w:r>
        <w:rPr>
          <w:rStyle w:val="cat-Addressgrp-4rplc-71"/>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 xml:space="preserve">в доход бюджета </w:t>
      </w:r>
      <w:r>
        <w:rPr>
          <w:rStyle w:val="cat-Addressgrp-0rplc-72"/>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 xml:space="preserve"> </w:t>
      </w:r>
      <w:r>
        <w:rPr>
          <w:rFonts w:ascii="Times New Roman" w:eastAsia="Times New Roman" w:hAnsi="Times New Roman" w:cs="Times New Roman"/>
          <w:sz w:val="28"/>
          <w:szCs w:val="28"/>
          <w:highlight w:val="none"/>
        </w:rPr>
        <w:t>государственн</w:t>
      </w:r>
      <w:r>
        <w:rPr>
          <w:rFonts w:ascii="Times New Roman" w:eastAsia="Times New Roman" w:hAnsi="Times New Roman" w:cs="Times New Roman"/>
          <w:sz w:val="28"/>
          <w:szCs w:val="28"/>
          <w:highlight w:val="none"/>
        </w:rPr>
        <w:t>ую</w:t>
      </w:r>
      <w:r>
        <w:rPr>
          <w:rFonts w:ascii="Times New Roman" w:eastAsia="Times New Roman" w:hAnsi="Times New Roman" w:cs="Times New Roman"/>
          <w:sz w:val="28"/>
          <w:szCs w:val="28"/>
          <w:highlight w:val="none"/>
        </w:rPr>
        <w:t xml:space="preserve"> пошлин</w:t>
      </w:r>
      <w:r>
        <w:rPr>
          <w:rFonts w:ascii="Times New Roman" w:eastAsia="Times New Roman" w:hAnsi="Times New Roman" w:cs="Times New Roman"/>
          <w:sz w:val="28"/>
          <w:szCs w:val="28"/>
          <w:highlight w:val="none"/>
        </w:rPr>
        <w:t>у</w:t>
      </w:r>
      <w:r>
        <w:rPr>
          <w:rFonts w:ascii="Times New Roman" w:eastAsia="Times New Roman" w:hAnsi="Times New Roman" w:cs="Times New Roman"/>
          <w:sz w:val="28"/>
          <w:szCs w:val="28"/>
          <w:highlight w:val="none"/>
        </w:rPr>
        <w:t xml:space="preserve"> в размере </w:t>
      </w:r>
      <w:r>
        <w:rPr>
          <w:rStyle w:val="cat-Sumgrp-15rplc-73"/>
          <w:rFonts w:ascii="Times New Roman" w:eastAsia="Times New Roman" w:hAnsi="Times New Roman" w:cs="Times New Roman"/>
          <w:sz w:val="28"/>
          <w:szCs w:val="28"/>
          <w:highlight w:val="none"/>
        </w:rPr>
        <w:t>сумма</w:t>
      </w:r>
    </w:p>
    <w:p>
      <w:pPr>
        <w:spacing w:before="0" w:after="0" w:line="235" w:lineRule="auto"/>
        <w:ind w:firstLine="709"/>
        <w:jc w:val="both"/>
        <w:rPr>
          <w:sz w:val="28"/>
          <w:szCs w:val="28"/>
        </w:rPr>
      </w:pPr>
    </w:p>
    <w:p>
      <w:pPr>
        <w:spacing w:before="0" w:after="0" w:line="235" w:lineRule="auto"/>
        <w:ind w:firstLine="709"/>
        <w:jc w:val="both"/>
        <w:rPr>
          <w:sz w:val="28"/>
          <w:szCs w:val="28"/>
        </w:rPr>
      </w:pPr>
      <w:r>
        <w:rPr>
          <w:rFonts w:ascii="Times New Roman" w:eastAsia="Times New Roman" w:hAnsi="Times New Roman" w:cs="Times New Roman"/>
          <w:sz w:val="28"/>
          <w:szCs w:val="28"/>
          <w:highlight w:val="none"/>
        </w:rPr>
        <w:t xml:space="preserve">Решение может быть обжаловано </w:t>
      </w:r>
      <w:r>
        <w:rPr>
          <w:rFonts w:ascii="Times New Roman" w:eastAsia="Times New Roman" w:hAnsi="Times New Roman" w:cs="Times New Roman"/>
          <w:sz w:val="28"/>
          <w:szCs w:val="28"/>
          <w:highlight w:val="none"/>
        </w:rPr>
        <w:t>в апелляционном порядке в Московский городской суд в течение месяца со дня его принятия в окончательной форме</w:t>
      </w:r>
      <w:r>
        <w:rPr>
          <w:rFonts w:ascii="Times New Roman" w:eastAsia="Times New Roman" w:hAnsi="Times New Roman" w:cs="Times New Roman"/>
          <w:sz w:val="28"/>
          <w:szCs w:val="28"/>
          <w:highlight w:val="none"/>
        </w:rPr>
        <w:t xml:space="preserve"> через Басманный районный суд </w:t>
      </w:r>
      <w:r>
        <w:rPr>
          <w:rStyle w:val="cat-Addressgrp-1rplc-74"/>
          <w:rFonts w:ascii="Times New Roman" w:eastAsia="Times New Roman" w:hAnsi="Times New Roman" w:cs="Times New Roman"/>
          <w:sz w:val="28"/>
          <w:szCs w:val="28"/>
          <w:highlight w:val="none"/>
        </w:rPr>
        <w:t>адрес</w:t>
      </w:r>
      <w:r>
        <w:rPr>
          <w:rFonts w:ascii="Times New Roman" w:eastAsia="Times New Roman" w:hAnsi="Times New Roman" w:cs="Times New Roman"/>
          <w:sz w:val="28"/>
          <w:szCs w:val="28"/>
          <w:highlight w:val="none"/>
        </w:rPr>
        <w:t>.</w:t>
      </w:r>
    </w:p>
    <w:p>
      <w:pPr>
        <w:spacing w:before="0" w:after="0" w:line="235" w:lineRule="auto"/>
        <w:ind w:firstLine="624"/>
        <w:jc w:val="both"/>
        <w:rPr>
          <w:sz w:val="28"/>
          <w:szCs w:val="28"/>
        </w:rPr>
      </w:pPr>
    </w:p>
    <w:p>
      <w:pPr>
        <w:spacing w:before="0" w:after="200" w:line="276" w:lineRule="auto"/>
        <w:ind w:firstLine="709"/>
      </w:pPr>
      <w:r>
        <w:rPr>
          <w:rFonts w:ascii="Times New Roman" w:eastAsia="Times New Roman" w:hAnsi="Times New Roman" w:cs="Times New Roman"/>
          <w:highlight w:val="none"/>
        </w:rPr>
        <w:t xml:space="preserve">Мотивированное решение изготовлено </w:t>
      </w:r>
      <w:r>
        <w:rPr>
          <w:rFonts w:ascii="Times New Roman" w:eastAsia="Times New Roman" w:hAnsi="Times New Roman" w:cs="Times New Roman"/>
          <w:highlight w:val="none"/>
        </w:rPr>
        <w:t>02</w:t>
      </w:r>
      <w:r>
        <w:rPr>
          <w:rFonts w:ascii="Times New Roman" w:eastAsia="Times New Roman" w:hAnsi="Times New Roman" w:cs="Times New Roman"/>
          <w:highlight w:val="none"/>
        </w:rPr>
        <w:t>.</w:t>
      </w:r>
      <w:r>
        <w:rPr>
          <w:rFonts w:ascii="Times New Roman" w:eastAsia="Times New Roman" w:hAnsi="Times New Roman" w:cs="Times New Roman"/>
          <w:highlight w:val="none"/>
        </w:rPr>
        <w:t>03</w:t>
      </w:r>
      <w:r>
        <w:rPr>
          <w:rFonts w:ascii="Times New Roman" w:eastAsia="Times New Roman" w:hAnsi="Times New Roman" w:cs="Times New Roman"/>
          <w:highlight w:val="none"/>
        </w:rPr>
        <w:t>.2026 г.</w:t>
      </w:r>
    </w:p>
    <w:p>
      <w:pPr>
        <w:spacing w:before="0" w:after="0" w:line="235" w:lineRule="auto"/>
        <w:ind w:firstLine="624"/>
        <w:jc w:val="both"/>
        <w:rPr>
          <w:sz w:val="28"/>
          <w:szCs w:val="28"/>
        </w:rPr>
      </w:pPr>
    </w:p>
    <w:p>
      <w:pPr>
        <w:spacing w:before="0" w:after="0" w:line="235" w:lineRule="auto"/>
        <w:ind w:firstLine="624"/>
        <w:jc w:val="both"/>
        <w:rPr>
          <w:sz w:val="28"/>
          <w:szCs w:val="28"/>
        </w:rPr>
      </w:pPr>
      <w:r>
        <w:rPr>
          <w:rFonts w:ascii="Times New Roman" w:eastAsia="Times New Roman" w:hAnsi="Times New Roman" w:cs="Times New Roman"/>
          <w:b/>
          <w:bCs/>
          <w:sz w:val="28"/>
          <w:szCs w:val="28"/>
          <w:highlight w:val="none"/>
        </w:rPr>
        <w:t>Судья</w:t>
      </w:r>
      <w:r>
        <w:rPr>
          <w:rFonts w:ascii="Times New Roman" w:eastAsia="Times New Roman" w:hAnsi="Times New Roman" w:cs="Times New Roman"/>
          <w:b/>
          <w:bCs/>
          <w:sz w:val="28"/>
          <w:szCs w:val="28"/>
          <w:highlight w:val="none"/>
        </w:rPr>
        <w:t xml:space="preserve">                                                                                        </w:t>
      </w:r>
      <w:r>
        <w:rPr>
          <w:rFonts w:ascii="Times New Roman" w:eastAsia="Times New Roman" w:hAnsi="Times New Roman" w:cs="Times New Roman"/>
          <w:b/>
          <w:bCs/>
          <w:sz w:val="28"/>
          <w:szCs w:val="28"/>
          <w:highlight w:val="none"/>
        </w:rPr>
        <w:t xml:space="preserve">Г.А. </w:t>
      </w:r>
      <w:r>
        <w:rPr>
          <w:rFonts w:ascii="Times New Roman" w:eastAsia="Times New Roman" w:hAnsi="Times New Roman" w:cs="Times New Roman"/>
          <w:b/>
          <w:bCs/>
          <w:sz w:val="28"/>
          <w:szCs w:val="28"/>
          <w:highlight w:val="none"/>
        </w:rPr>
        <w:t>Графова</w:t>
      </w:r>
    </w:p>
    <w:p>
      <w:pPr>
        <w:spacing w:before="0" w:after="0" w:line="235" w:lineRule="auto"/>
        <w:jc w:val="both"/>
        <w:rPr>
          <w:sz w:val="28"/>
          <w:szCs w:val="28"/>
        </w:rPr>
      </w:pPr>
    </w:p>
    <w:p>
      <w:pPr>
        <w:spacing w:before="0" w:after="0" w:line="235" w:lineRule="auto"/>
        <w:jc w:val="both"/>
        <w:rPr>
          <w:sz w:val="28"/>
          <w:szCs w:val="2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Addressgrp-1rplc-1">
    <w:name w:val="cat-Address grp-1 rplc-1"/>
    <w:basedOn w:val="DefaultParagraphFont"/>
  </w:style>
  <w:style w:type="character" w:customStyle="1" w:styleId="cat-FIOgrp-10rplc-3">
    <w:name w:val="cat-FIO grp-10 rplc-3"/>
    <w:basedOn w:val="DefaultParagraphFont"/>
  </w:style>
  <w:style w:type="character" w:customStyle="1" w:styleId="cat-Addressgrp-2rplc-4">
    <w:name w:val="cat-Address grp-2 rplc-4"/>
    <w:basedOn w:val="DefaultParagraphFont"/>
  </w:style>
  <w:style w:type="character" w:customStyle="1" w:styleId="cat-FIOgrp-11rplc-5">
    <w:name w:val="cat-FIO grp-11 rplc-5"/>
    <w:basedOn w:val="DefaultParagraphFont"/>
  </w:style>
  <w:style w:type="character" w:customStyle="1" w:styleId="cat-Addressgrp-3rplc-6">
    <w:name w:val="cat-Address grp-3 rplc-6"/>
    <w:basedOn w:val="DefaultParagraphFont"/>
  </w:style>
  <w:style w:type="character" w:customStyle="1" w:styleId="cat-Addressgrp-2rplc-7">
    <w:name w:val="cat-Address grp-2 rplc-7"/>
    <w:basedOn w:val="DefaultParagraphFont"/>
  </w:style>
  <w:style w:type="character" w:customStyle="1" w:styleId="cat-FIOgrp-11rplc-8">
    <w:name w:val="cat-FIO grp-11 rplc-8"/>
    <w:basedOn w:val="DefaultParagraphFont"/>
  </w:style>
  <w:style w:type="character" w:customStyle="1" w:styleId="cat-Addressgrp-4rplc-9">
    <w:name w:val="cat-Address grp-4 rplc-9"/>
    <w:basedOn w:val="DefaultParagraphFont"/>
  </w:style>
  <w:style w:type="character" w:customStyle="1" w:styleId="cat-Addressgrp-5rplc-10">
    <w:name w:val="cat-Address grp-5 rplc-10"/>
    <w:basedOn w:val="DefaultParagraphFont"/>
  </w:style>
  <w:style w:type="character" w:customStyle="1" w:styleId="cat-Addressgrp-4rplc-11">
    <w:name w:val="cat-Address grp-4 rplc-11"/>
    <w:basedOn w:val="DefaultParagraphFont"/>
  </w:style>
  <w:style w:type="character" w:customStyle="1" w:styleId="cat-Addressgrp-4rplc-12">
    <w:name w:val="cat-Address grp-4 rplc-12"/>
    <w:basedOn w:val="DefaultParagraphFont"/>
  </w:style>
  <w:style w:type="character" w:customStyle="1" w:styleId="cat-Addressgrp-5rplc-13">
    <w:name w:val="cat-Address grp-5 rplc-13"/>
    <w:basedOn w:val="DefaultParagraphFont"/>
  </w:style>
  <w:style w:type="character" w:customStyle="1" w:styleId="cat-Addressgrp-4rplc-14">
    <w:name w:val="cat-Address grp-4 rplc-14"/>
    <w:basedOn w:val="DefaultParagraphFont"/>
  </w:style>
  <w:style w:type="character" w:customStyle="1" w:styleId="cat-Addressgrp-5rplc-15">
    <w:name w:val="cat-Address grp-5 rplc-15"/>
    <w:basedOn w:val="DefaultParagraphFont"/>
  </w:style>
  <w:style w:type="character" w:customStyle="1" w:styleId="cat-Addressgrp-4rplc-16">
    <w:name w:val="cat-Address grp-4 rplc-16"/>
    <w:basedOn w:val="DefaultParagraphFont"/>
  </w:style>
  <w:style w:type="character" w:customStyle="1" w:styleId="cat-Addressgrp-4rplc-17">
    <w:name w:val="cat-Address grp-4 rplc-17"/>
    <w:basedOn w:val="DefaultParagraphFont"/>
  </w:style>
  <w:style w:type="character" w:customStyle="1" w:styleId="cat-Addressgrp-5rplc-18">
    <w:name w:val="cat-Address grp-5 rplc-18"/>
    <w:basedOn w:val="DefaultParagraphFont"/>
  </w:style>
  <w:style w:type="character" w:customStyle="1" w:styleId="cat-Addressgrp-4rplc-19">
    <w:name w:val="cat-Address grp-4 rplc-19"/>
    <w:basedOn w:val="DefaultParagraphFont"/>
  </w:style>
  <w:style w:type="character" w:customStyle="1" w:styleId="cat-Addressgrp-0rplc-20">
    <w:name w:val="cat-Address grp-0 rplc-20"/>
    <w:basedOn w:val="DefaultParagraphFont"/>
  </w:style>
  <w:style w:type="character" w:customStyle="1" w:styleId="cat-Addressgrp-4rplc-21">
    <w:name w:val="cat-Address grp-4 rplc-21"/>
    <w:basedOn w:val="DefaultParagraphFont"/>
  </w:style>
  <w:style w:type="character" w:customStyle="1" w:styleId="cat-Addressgrp-4rplc-22">
    <w:name w:val="cat-Address grp-4 rplc-22"/>
    <w:basedOn w:val="DefaultParagraphFont"/>
  </w:style>
  <w:style w:type="character" w:customStyle="1" w:styleId="cat-Addressgrp-5rplc-23">
    <w:name w:val="cat-Address grp-5 rplc-23"/>
    <w:basedOn w:val="DefaultParagraphFont"/>
  </w:style>
  <w:style w:type="character" w:customStyle="1" w:styleId="cat-Addressgrp-4rplc-24">
    <w:name w:val="cat-Address grp-4 rplc-24"/>
    <w:basedOn w:val="DefaultParagraphFont"/>
  </w:style>
  <w:style w:type="character" w:customStyle="1" w:styleId="cat-Addressgrp-6rplc-25">
    <w:name w:val="cat-Address grp-6 rplc-25"/>
    <w:basedOn w:val="DefaultParagraphFont"/>
  </w:style>
  <w:style w:type="character" w:customStyle="1" w:styleId="cat-Addressgrp-5rplc-26">
    <w:name w:val="cat-Address grp-5 rplc-26"/>
    <w:basedOn w:val="DefaultParagraphFont"/>
  </w:style>
  <w:style w:type="character" w:customStyle="1" w:styleId="cat-Addressgrp-4rplc-27">
    <w:name w:val="cat-Address grp-4 rplc-27"/>
    <w:basedOn w:val="DefaultParagraphFont"/>
  </w:style>
  <w:style w:type="character" w:customStyle="1" w:styleId="cat-Addressgrp-2rplc-28">
    <w:name w:val="cat-Address grp-2 rplc-28"/>
    <w:basedOn w:val="DefaultParagraphFont"/>
  </w:style>
  <w:style w:type="character" w:customStyle="1" w:styleId="cat-FIOgrp-11rplc-29">
    <w:name w:val="cat-FIO grp-11 rplc-29"/>
    <w:basedOn w:val="DefaultParagraphFont"/>
  </w:style>
  <w:style w:type="character" w:customStyle="1" w:styleId="cat-FIOgrp-12rplc-30">
    <w:name w:val="cat-FIO grp-12 rplc-30"/>
    <w:basedOn w:val="DefaultParagraphFont"/>
  </w:style>
  <w:style w:type="character" w:customStyle="1" w:styleId="cat-Addressgrp-4rplc-31">
    <w:name w:val="cat-Address grp-4 rplc-31"/>
    <w:basedOn w:val="DefaultParagraphFont"/>
  </w:style>
  <w:style w:type="character" w:customStyle="1" w:styleId="cat-FIOgrp-13rplc-32">
    <w:name w:val="cat-FIO grp-13 rplc-32"/>
    <w:basedOn w:val="DefaultParagraphFont"/>
  </w:style>
  <w:style w:type="character" w:customStyle="1" w:styleId="cat-Addressgrp-7rplc-33">
    <w:name w:val="cat-Address grp-7 rplc-33"/>
    <w:basedOn w:val="DefaultParagraphFont"/>
  </w:style>
  <w:style w:type="character" w:customStyle="1" w:styleId="cat-Addressgrp-4rplc-34">
    <w:name w:val="cat-Address grp-4 rplc-34"/>
    <w:basedOn w:val="DefaultParagraphFont"/>
  </w:style>
  <w:style w:type="character" w:customStyle="1" w:styleId="cat-Addressgrp-5rplc-35">
    <w:name w:val="cat-Address grp-5 rplc-35"/>
    <w:basedOn w:val="DefaultParagraphFont"/>
  </w:style>
  <w:style w:type="character" w:customStyle="1" w:styleId="cat-Addressgrp-5rplc-36">
    <w:name w:val="cat-Address grp-5 rplc-36"/>
    <w:basedOn w:val="DefaultParagraphFont"/>
  </w:style>
  <w:style w:type="character" w:customStyle="1" w:styleId="cat-Addressgrp-5rplc-37">
    <w:name w:val="cat-Address grp-5 rplc-37"/>
    <w:basedOn w:val="DefaultParagraphFont"/>
  </w:style>
  <w:style w:type="character" w:customStyle="1" w:styleId="cat-Addressgrp-4rplc-38">
    <w:name w:val="cat-Address grp-4 rplc-38"/>
    <w:basedOn w:val="DefaultParagraphFont"/>
  </w:style>
  <w:style w:type="character" w:customStyle="1" w:styleId="cat-Addressgrp-4rplc-39">
    <w:name w:val="cat-Address grp-4 rplc-39"/>
    <w:basedOn w:val="DefaultParagraphFont"/>
  </w:style>
  <w:style w:type="character" w:customStyle="1" w:styleId="cat-Addressgrp-5rplc-40">
    <w:name w:val="cat-Address grp-5 rplc-40"/>
    <w:basedOn w:val="DefaultParagraphFont"/>
  </w:style>
  <w:style w:type="character" w:customStyle="1" w:styleId="cat-Addressgrp-4rplc-41">
    <w:name w:val="cat-Address grp-4 rplc-41"/>
    <w:basedOn w:val="DefaultParagraphFont"/>
  </w:style>
  <w:style w:type="character" w:customStyle="1" w:styleId="cat-Addressgrp-0rplc-42">
    <w:name w:val="cat-Address grp-0 rplc-42"/>
    <w:basedOn w:val="DefaultParagraphFont"/>
  </w:style>
  <w:style w:type="character" w:customStyle="1" w:styleId="cat-Addressgrp-4rplc-43">
    <w:name w:val="cat-Address grp-4 rplc-43"/>
    <w:basedOn w:val="DefaultParagraphFont"/>
  </w:style>
  <w:style w:type="character" w:customStyle="1" w:styleId="cat-Addressgrp-8rplc-44">
    <w:name w:val="cat-Address grp-8 rplc-44"/>
    <w:basedOn w:val="DefaultParagraphFont"/>
  </w:style>
  <w:style w:type="character" w:customStyle="1" w:styleId="cat-Addressgrp-5rplc-45">
    <w:name w:val="cat-Address grp-5 rplc-45"/>
    <w:basedOn w:val="DefaultParagraphFont"/>
  </w:style>
  <w:style w:type="character" w:customStyle="1" w:styleId="cat-Addressgrp-6rplc-46">
    <w:name w:val="cat-Address grp-6 rplc-46"/>
    <w:basedOn w:val="DefaultParagraphFont"/>
  </w:style>
  <w:style w:type="character" w:customStyle="1" w:styleId="cat-Addressgrp-5rplc-47">
    <w:name w:val="cat-Address grp-5 rplc-47"/>
    <w:basedOn w:val="DefaultParagraphFont"/>
  </w:style>
  <w:style w:type="character" w:customStyle="1" w:styleId="cat-Addressgrp-4rplc-48">
    <w:name w:val="cat-Address grp-4 rplc-48"/>
    <w:basedOn w:val="DefaultParagraphFont"/>
  </w:style>
  <w:style w:type="character" w:customStyle="1" w:styleId="cat-Addressgrp-0rplc-49">
    <w:name w:val="cat-Address grp-0 rplc-49"/>
    <w:basedOn w:val="DefaultParagraphFont"/>
  </w:style>
  <w:style w:type="character" w:customStyle="1" w:styleId="cat-Addressgrp-4rplc-50">
    <w:name w:val="cat-Address grp-4 rplc-50"/>
    <w:basedOn w:val="DefaultParagraphFont"/>
  </w:style>
  <w:style w:type="character" w:customStyle="1" w:styleId="cat-Addressgrp-5rplc-51">
    <w:name w:val="cat-Address grp-5 rplc-51"/>
    <w:basedOn w:val="DefaultParagraphFont"/>
  </w:style>
  <w:style w:type="character" w:customStyle="1" w:styleId="cat-Addressgrp-4rplc-52">
    <w:name w:val="cat-Address grp-4 rplc-52"/>
    <w:basedOn w:val="DefaultParagraphFont"/>
  </w:style>
  <w:style w:type="character" w:customStyle="1" w:styleId="cat-Addressgrp-5rplc-53">
    <w:name w:val="cat-Address grp-5 rplc-53"/>
    <w:basedOn w:val="DefaultParagraphFont"/>
  </w:style>
  <w:style w:type="character" w:customStyle="1" w:styleId="cat-Addressgrp-4rplc-54">
    <w:name w:val="cat-Address grp-4 rplc-54"/>
    <w:basedOn w:val="DefaultParagraphFont"/>
  </w:style>
  <w:style w:type="character" w:customStyle="1" w:styleId="cat-Addressgrp-0rplc-55">
    <w:name w:val="cat-Address grp-0 rplc-55"/>
    <w:basedOn w:val="DefaultParagraphFont"/>
  </w:style>
  <w:style w:type="character" w:customStyle="1" w:styleId="cat-Addressgrp-0rplc-56">
    <w:name w:val="cat-Address grp-0 rplc-56"/>
    <w:basedOn w:val="DefaultParagraphFont"/>
  </w:style>
  <w:style w:type="character" w:customStyle="1" w:styleId="cat-Addressgrp-0rplc-57">
    <w:name w:val="cat-Address grp-0 rplc-57"/>
    <w:basedOn w:val="DefaultParagraphFont"/>
  </w:style>
  <w:style w:type="character" w:customStyle="1" w:styleId="cat-Addressgrp-0rplc-58">
    <w:name w:val="cat-Address grp-0 rplc-58"/>
    <w:basedOn w:val="DefaultParagraphFont"/>
  </w:style>
  <w:style w:type="character" w:customStyle="1" w:styleId="cat-Addressgrp-0rplc-59">
    <w:name w:val="cat-Address grp-0 rplc-59"/>
    <w:basedOn w:val="DefaultParagraphFont"/>
  </w:style>
  <w:style w:type="character" w:customStyle="1" w:styleId="cat-Addressgrp-4rplc-60">
    <w:name w:val="cat-Address grp-4 rplc-60"/>
    <w:basedOn w:val="DefaultParagraphFont"/>
  </w:style>
  <w:style w:type="character" w:customStyle="1" w:styleId="cat-Addressgrp-5rplc-61">
    <w:name w:val="cat-Address grp-5 rplc-61"/>
    <w:basedOn w:val="DefaultParagraphFont"/>
  </w:style>
  <w:style w:type="character" w:customStyle="1" w:styleId="cat-Addressgrp-7rplc-62">
    <w:name w:val="cat-Address grp-7 rplc-62"/>
    <w:basedOn w:val="DefaultParagraphFont"/>
  </w:style>
  <w:style w:type="character" w:customStyle="1" w:styleId="cat-Addressgrp-5rplc-63">
    <w:name w:val="cat-Address grp-5 rplc-63"/>
    <w:basedOn w:val="DefaultParagraphFont"/>
  </w:style>
  <w:style w:type="character" w:customStyle="1" w:styleId="cat-Addressgrp-0rplc-64">
    <w:name w:val="cat-Address grp-0 rplc-64"/>
    <w:basedOn w:val="DefaultParagraphFont"/>
  </w:style>
  <w:style w:type="character" w:customStyle="1" w:styleId="cat-Sumgrp-15rplc-65">
    <w:name w:val="cat-Sum grp-15 rplc-65"/>
    <w:basedOn w:val="DefaultParagraphFont"/>
  </w:style>
  <w:style w:type="character" w:customStyle="1" w:styleId="cat-Addressgrp-3rplc-66">
    <w:name w:val="cat-Address grp-3 rplc-66"/>
    <w:basedOn w:val="DefaultParagraphFont"/>
  </w:style>
  <w:style w:type="character" w:customStyle="1" w:styleId="cat-Addressgrp-5rplc-67">
    <w:name w:val="cat-Address grp-5 rplc-67"/>
    <w:basedOn w:val="DefaultParagraphFont"/>
  </w:style>
  <w:style w:type="character" w:customStyle="1" w:styleId="cat-Addressgrp-3rplc-68">
    <w:name w:val="cat-Address grp-3 rplc-68"/>
    <w:basedOn w:val="DefaultParagraphFont"/>
  </w:style>
  <w:style w:type="character" w:customStyle="1" w:styleId="cat-Addressgrp-4rplc-69">
    <w:name w:val="cat-Address grp-4 rplc-69"/>
    <w:basedOn w:val="DefaultParagraphFont"/>
  </w:style>
  <w:style w:type="character" w:customStyle="1" w:styleId="cat-Addressgrp-3rplc-70">
    <w:name w:val="cat-Address grp-3 rplc-70"/>
    <w:basedOn w:val="DefaultParagraphFont"/>
  </w:style>
  <w:style w:type="character" w:customStyle="1" w:styleId="cat-Addressgrp-4rplc-71">
    <w:name w:val="cat-Address grp-4 rplc-71"/>
    <w:basedOn w:val="DefaultParagraphFont"/>
  </w:style>
  <w:style w:type="character" w:customStyle="1" w:styleId="cat-Addressgrp-0rplc-72">
    <w:name w:val="cat-Address grp-0 rplc-72"/>
    <w:basedOn w:val="DefaultParagraphFont"/>
  </w:style>
  <w:style w:type="character" w:customStyle="1" w:styleId="cat-Sumgrp-15rplc-73">
    <w:name w:val="cat-Sum grp-15 rplc-73"/>
    <w:basedOn w:val="DefaultParagraphFont"/>
  </w:style>
  <w:style w:type="character" w:customStyle="1" w:styleId="cat-Addressgrp-1rplc-74">
    <w:name w:val="cat-Address grp-1 rplc-74"/>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